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F4E79" w:sz="12" w:space="6"/>
        </w:pBdr>
        <w:spacing w:after="60" w:before="60"/>
      </w:pPr>
      <w:r>
        <w:rPr>
          <w:rFonts w:ascii="Calibri" w:cs="Calibri" w:eastAsia="Calibri" w:hAnsi="Calibri"/>
          <w:b/>
          <w:bCs/>
          <w:color w:val="1F4E79"/>
          <w:sz w:val="30"/>
          <w:szCs w:val="30"/>
        </w:rPr>
        <w:t xml:space="preserve">Intimation of TDS under Section 194Q (purchase of goods)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/>
              <w:left w:val="single" w:color="2E75B6" w:sz="16"/>
              <w:bottom w:val="none"/>
              <w:right w:val="none"/>
            </w:tcBorders>
            <w:shd w:fill="EAF1F8" w:val="clear"/>
            <w:tcMar>
              <w:top w:type="dxa" w:w="90"/>
              <w:left w:type="dxa" w:w="150"/>
              <w:bottom w:type="dxa" w:w="90"/>
              <w:right w:type="dxa" w:w="13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555555"/>
                <w:sz w:val="19"/>
                <w:szCs w:val="19"/>
              </w:rPr>
              <w:t xml:space="preserve">From the buyer to the seller. Print on the buyer’s letterhead. Updated for the withdrawal of TCS under Section 206C(1H) from 1 April 2025.</w:t>
            </w:r>
          </w:p>
        </w:tc>
      </w:tr>
    </w:tbl>
    <w:p>
      <w:pPr>
        <w:spacing w:after="120" w:line="276"/>
      </w:pPr>
      <w:r>
        <w:rPr>
          <w:rFonts w:ascii="Calibri" w:cs="Calibri" w:eastAsia="Calibri" w:hAnsi="Calibri"/>
        </w:rPr>
        <w:t xml:space="preserve">Date: ____________</w:t>
      </w:r>
    </w:p>
    <w:p>
      <w:pPr>
        <w:spacing w:after="120" w:line="276"/>
      </w:pPr>
      <w:r>
        <w:rPr>
          <w:rFonts w:ascii="Calibri" w:cs="Calibri" w:eastAsia="Calibri" w:hAnsi="Calibri"/>
        </w:rPr>
        <w:t xml:space="preserve">To,</w:t>
      </w:r>
    </w:p>
    <w:p>
      <w:pPr>
        <w:spacing w:after="120" w:line="276"/>
      </w:pPr>
      <w:r>
        <w:rPr>
          <w:rFonts w:ascii="Calibri" w:cs="Calibri" w:eastAsia="Calibri" w:hAnsi="Calibri"/>
        </w:rPr>
        <w:t xml:space="preserve">[Seller name]</w:t>
      </w:r>
    </w:p>
    <w:p>
      <w:pPr>
        <w:spacing w:after="120" w:line="276"/>
      </w:pPr>
      <w:r>
        <w:rPr>
          <w:rFonts w:ascii="Calibri" w:cs="Calibri" w:eastAsia="Calibri" w:hAnsi="Calibri"/>
        </w:rPr>
        <w:t xml:space="preserve">[Address]</w:t>
      </w:r>
    </w:p>
    <w:p>
      <w:pPr>
        <w:spacing w:after="120" w:line="276"/>
      </w:pPr>
      <w:r>
        <w:rPr>
          <w:rFonts w:ascii="Calibri" w:cs="Calibri" w:eastAsia="Calibri" w:hAnsi="Calibri"/>
          <w:b/>
          <w:bCs/>
        </w:rPr>
        <w:t xml:space="preserve">Subject: </w:t>
      </w:r>
      <w:r>
        <w:rPr>
          <w:rFonts w:ascii="Calibri" w:cs="Calibri" w:eastAsia="Calibri" w:hAnsi="Calibri"/>
        </w:rPr>
        <w:t xml:space="preserve">Deduction of TDS under Section 194Q on purchase of goods — FY 2026-27.</w:t>
      </w:r>
    </w:p>
    <w:p>
      <w:pPr>
        <w:spacing w:after="120" w:line="276"/>
      </w:pPr>
      <w:r>
        <w:rPr>
          <w:rFonts w:ascii="Calibri" w:cs="Calibri" w:eastAsia="Calibri" w:hAnsi="Calibri"/>
        </w:rPr>
        <w:t xml:space="preserve">Dear Sir / Madam,</w:t>
      </w:r>
    </w:p>
    <w:p>
      <w:pPr>
        <w:spacing w:after="120" w:line="276"/>
      </w:pPr>
      <w:r>
        <w:rPr>
          <w:rFonts w:ascii="Calibri" w:cs="Calibri" w:eastAsia="Calibri" w:hAnsi="Calibri"/>
        </w:rPr>
        <w:t xml:space="preserve">We, [Buyer name], PAN [____], TAN [____], confirm that our total sales / turnover / gross receipts exceeded ₹10 crore in the immediately preceding financial year. Accordingly, on purchases of goods from you whose aggregate value exceeds ₹50,00,000 during the financial year, we shall deduct TDS at </w:t>
      </w:r>
      <w:r>
        <w:rPr>
          <w:rFonts w:ascii="Calibri" w:cs="Calibri" w:eastAsia="Calibri" w:hAnsi="Calibri"/>
          <w:b/>
          <w:bCs/>
        </w:rPr>
        <w:t xml:space="preserve">0.1% under Section 194Q</w:t>
      </w:r>
      <w:r>
        <w:rPr>
          <w:rFonts w:ascii="Calibri" w:cs="Calibri" w:eastAsia="Calibri" w:hAnsi="Calibri"/>
        </w:rPr>
        <w:t xml:space="preserve"> of the Income-tax Act (now within Section 393 of the Income-tax Act 2025) on the value exceeding ₹50,00,000.</w:t>
      </w:r>
    </w:p>
    <w:p>
      <w:pPr>
        <w:spacing w:after="120" w:line="276"/>
      </w:pPr>
      <w:r>
        <w:rPr>
          <w:rFonts w:ascii="Calibri" w:cs="Calibri" w:eastAsia="Calibri" w:hAnsi="Calibri"/>
        </w:rPr>
        <w:t xml:space="preserve">Please note that Tax Collection at Source under Section 206C(1H) on the sale of goods was </w:t>
      </w:r>
      <w:r>
        <w:rPr>
          <w:rFonts w:ascii="Calibri" w:cs="Calibri" w:eastAsia="Calibri" w:hAnsi="Calibri"/>
          <w:b/>
          <w:bCs/>
        </w:rPr>
        <w:t xml:space="preserve">withdrawn with effect from 1 April 2025</w:t>
      </w:r>
      <w:r>
        <w:rPr>
          <w:rFonts w:ascii="Calibri" w:cs="Calibri" w:eastAsia="Calibri" w:hAnsi="Calibri"/>
        </w:rPr>
        <w:t xml:space="preserve">. You are therefore not required to collect TCS on these transactions. Kindly take this intimation on record.</w:t>
      </w:r>
    </w:p>
    <w:p>
      <w:pPr>
        <w:spacing w:after="120"/>
      </w:pPr>
      <w:r>
        <w:rPr>
          <w:rFonts w:ascii="Calibri" w:cs="Calibri" w:eastAsia="Calibri" w:hAnsi="Calibri"/>
        </w:rPr>
        <w:t xml:space="preserve"/>
      </w:r>
    </w:p>
    <w:p>
      <w:pPr>
        <w:spacing w:after="120" w:line="276"/>
      </w:pPr>
      <w:r>
        <w:rPr>
          <w:rFonts w:ascii="Calibri" w:cs="Calibri" w:eastAsia="Calibri" w:hAnsi="Calibri"/>
          <w:b/>
          <w:bCs/>
        </w:rPr>
        <w:t xml:space="preserve">For [Buyer name]</w:t>
      </w:r>
    </w:p>
    <w:p>
      <w:pPr>
        <w:spacing w:after="220"/>
      </w:pPr>
      <w:r>
        <w:rPr>
          <w:rFonts w:ascii="Calibri" w:cs="Calibri" w:eastAsia="Calibri" w:hAnsi="Calibri"/>
        </w:rPr>
        <w:t xml:space="preserve"/>
      </w:r>
    </w:p>
    <w:p>
      <w:pPr>
        <w:spacing w:after="120" w:line="276"/>
      </w:pPr>
      <w:r>
        <w:rPr>
          <w:rFonts w:ascii="Calibri" w:cs="Calibri" w:eastAsia="Calibri" w:hAnsi="Calibri"/>
        </w:rPr>
        <w:t xml:space="preserve">_______________________________</w:t>
      </w:r>
    </w:p>
    <w:p>
      <w:pPr>
        <w:spacing w:after="120" w:line="276"/>
      </w:pPr>
      <w:r>
        <w:rPr>
          <w:rFonts w:ascii="Calibri" w:cs="Calibri" w:eastAsia="Calibri" w:hAnsi="Calibri"/>
        </w:rPr>
        <w:t xml:space="preserve">Authorised signatory</w:t>
      </w:r>
    </w:p>
    <w:p>
      <w:pPr>
        <w:spacing w:after="120" w:line="276"/>
      </w:pPr>
      <w:r>
        <w:rPr>
          <w:rFonts w:ascii="Calibri" w:cs="Calibri" w:eastAsia="Calibri" w:hAnsi="Calibri"/>
        </w:rPr>
        <w:t xml:space="preserve">Name: ____________________    Designation: ____________________</w:t>
      </w:r>
    </w:p>
    <w:p>
      <w:pPr>
        <w:spacing w:after="120" w:line="276"/>
      </w:pPr>
      <w:r>
        <w:rPr>
          <w:rFonts w:ascii="Calibri" w:cs="Calibri" w:eastAsia="Calibri" w:hAnsi="Calibri"/>
        </w:rPr>
        <w:t xml:space="preserve">Place: ____________    Date: ____________</w:t>
      </w:r>
    </w:p>
    <w:sectPr>
      <w:footerReference w:type="default" r:id="rId7"/>
      <w:pgSz w:w="12240" w:h="15840" w:orient="portrait"/>
      <w:pgMar w:top="1300" w:right="1440" w:bottom="130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CCCCC" w:sz="4" w:space="4"/>
      </w:pBdr>
      <w:jc w:val="center"/>
    </w:pPr>
    <w:r>
      <w:rPr>
        <w:rFonts w:ascii="Calibri" w:cs="Calibri" w:eastAsia="Calibri" w:hAnsi="Calibri"/>
        <w:color w:val="888888"/>
        <w:sz w:val="15"/>
        <w:szCs w:val="15"/>
      </w:rPr>
      <w:t xml:space="preserve">Built and maintained by a CA firm · tdsguru.in · General information, not professional advice. Verify against the Income-tax Act 2025 for your specific case.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2026-06-28T13:00:21.678Z</dcterms:created>
  <dcterms:modified xsi:type="dcterms:W3CDTF">2026-06-28T13:00:21.678Z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