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4E79" w:sz="12" w:space="6"/>
        </w:pBdr>
        <w:spacing w:after="60" w:before="60"/>
      </w:pPr>
      <w:r>
        <w:rPr>
          <w:rFonts w:ascii="Calibri" w:cs="Calibri" w:eastAsia="Calibri" w:hAnsi="Calibri"/>
          <w:b/>
          <w:bCs/>
          <w:color w:val="1F4E79"/>
          <w:sz w:val="30"/>
          <w:szCs w:val="30"/>
        </w:rPr>
        <w:t xml:space="preserve">TDS Return Filing Checklist — Forms 138 / 140 / 144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/>
              <w:left w:val="single" w:color="2E75B6" w:sz="16"/>
              <w:bottom w:val="none"/>
              <w:right w:val="none"/>
            </w:tcBorders>
            <w:shd w:fill="EAF1F8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9"/>
                <w:szCs w:val="19"/>
              </w:rPr>
              <w:t xml:space="preserve">A quarterly checklist for FY 2026-27. Form 138 = salary (was 24Q), 140 = non-salary resident (was 26Q), 144 = non-resident (was 27Q). Tick each box before you file.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874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Before you prepare the return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 challans for the quarter deposited and reflected in the OLTAS / CSI file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Each deductee PAN captured and verified as operative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Correct section and payment code applied to every payment (e.g. 1024 for 194C)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Threshold checks applied — no missed deductions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Section 197 lower-deduction certificates applied within their limit and validity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Non-resident payments mapped to Form 144 with PAN / DTAA / residency details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874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Before you submit / after filing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Return validated through the latest FVU / RPU with no errors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Total tax deducted equals total tax deposited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Correct quarter and form selected (138 / 140 / 144)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Due date met — Q1 31 Jul · Q2 31 Oct · Q3 31 Jan · Q4 31 May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Form 16 / 16A (now Form 130) downloaded and issued within the due window</w:t>
            </w:r>
          </w:p>
        </w:tc>
      </w:tr>
      <w:tr>
        <w:tc>
          <w:tcPr>
            <w:tcW w:type="dxa" w:w="6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6"/>
                <w:szCs w:val="26"/>
              </w:rPr>
              <w:t xml:space="preserve">☐</w:t>
            </w:r>
          </w:p>
        </w:tc>
        <w:tc>
          <w:tcPr>
            <w:tcW w:type="dxa" w:w="87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7FB" w:val="clear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Filed statement reconciled to deductees’ Form 168 / 26AS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Interest &amp; late fees if you miss a step: </w:t>
      </w:r>
      <w:r>
        <w:rPr>
          <w:rFonts w:ascii="Calibri" w:cs="Calibri" w:eastAsia="Calibri" w:hAnsi="Calibri"/>
        </w:rPr>
        <w:t xml:space="preserve">late deduction 1% per month (Sec 201(1A)); late deposit 1.5% per month; late return ₹200/day under Section 234E, capped at the TDS in the statement.</w:t>
      </w:r>
    </w:p>
    <w:sectPr>
      <w:footerReference w:type="default" r:id="rId7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rFonts w:ascii="Calibri" w:cs="Calibri" w:eastAsia="Calibri" w:hAnsi="Calibri"/>
        <w:color w:val="888888"/>
        <w:sz w:val="15"/>
        <w:szCs w:val="15"/>
      </w:rPr>
      <w:t xml:space="preserve">Built and maintained by a CA firm · tdsguru.in · General information, not professional advice. Verify against the Income-tax Act 2025 for your specific case.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2026-06-28T13:00:21.725Z</dcterms:created>
  <dcterms:modified xsi:type="dcterms:W3CDTF">2026-06-28T13:00:21.725Z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